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22ACC44E"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7746F7">
        <w:rPr>
          <w:rFonts w:ascii="Arial" w:hAnsi="Arial"/>
          <w:b/>
          <w:noProof/>
          <w:sz w:val="24"/>
        </w:rPr>
        <w:t>1</w:t>
      </w:r>
      <w:r w:rsidR="00694D38">
        <w:rPr>
          <w:rFonts w:ascii="Arial" w:hAnsi="Arial"/>
          <w:b/>
          <w:noProof/>
          <w:sz w:val="24"/>
        </w:rPr>
        <w:t>-bis</w:t>
      </w:r>
      <w:r w:rsidRPr="00F45BB4">
        <w:rPr>
          <w:rFonts w:ascii="Arial" w:hAnsi="Arial"/>
          <w:b/>
          <w:i/>
          <w:noProof/>
          <w:sz w:val="28"/>
        </w:rPr>
        <w:tab/>
      </w:r>
      <w:r w:rsidR="00ED22F5" w:rsidRPr="006F10F6">
        <w:rPr>
          <w:rFonts w:ascii="Arial" w:hAnsi="Arial"/>
          <w:b/>
          <w:noProof/>
          <w:sz w:val="28"/>
          <w:lang w:eastAsia="zh-CN"/>
        </w:rPr>
        <w:t>R2-</w:t>
      </w:r>
      <w:r w:rsidR="006F10F6" w:rsidRPr="006F10F6">
        <w:t xml:space="preserve"> </w:t>
      </w:r>
      <w:bookmarkStart w:id="0" w:name="_GoBack"/>
      <w:r w:rsidR="006F18BD" w:rsidRPr="006F18BD">
        <w:rPr>
          <w:rFonts w:ascii="Arial" w:hAnsi="Arial"/>
          <w:b/>
          <w:noProof/>
          <w:sz w:val="28"/>
          <w:lang w:eastAsia="zh-CN"/>
        </w:rPr>
        <w:t>23038</w:t>
      </w:r>
      <w:r w:rsidR="006F18BD">
        <w:rPr>
          <w:rFonts w:ascii="Arial" w:hAnsi="Arial"/>
          <w:b/>
          <w:noProof/>
          <w:sz w:val="28"/>
          <w:lang w:eastAsia="zh-CN"/>
        </w:rPr>
        <w:t>08</w:t>
      </w:r>
      <w:bookmarkEnd w:id="0"/>
    </w:p>
    <w:p w14:paraId="3F87AAA6" w14:textId="2D8E0790" w:rsidR="0034361D" w:rsidRPr="00F45BB4" w:rsidRDefault="00694D38" w:rsidP="0034361D">
      <w:pPr>
        <w:tabs>
          <w:tab w:val="right" w:pos="9639"/>
        </w:tabs>
        <w:spacing w:after="0"/>
        <w:rPr>
          <w:rFonts w:ascii="Arial" w:hAnsi="Arial"/>
          <w:b/>
          <w:i/>
          <w:noProof/>
          <w:sz w:val="28"/>
          <w:lang w:val="en-US"/>
        </w:rPr>
      </w:pPr>
      <w:r>
        <w:rPr>
          <w:rFonts w:ascii="Arial" w:hAnsi="Arial"/>
          <w:b/>
          <w:noProof/>
          <w:sz w:val="24"/>
        </w:rPr>
        <w:t>e-meeting</w:t>
      </w:r>
      <w:r w:rsidRPr="00F45BB4">
        <w:rPr>
          <w:rFonts w:ascii="Arial" w:hAnsi="Arial"/>
          <w:b/>
          <w:noProof/>
          <w:sz w:val="24"/>
        </w:rPr>
        <w:t>,</w:t>
      </w:r>
      <w:r w:rsidRPr="000771BA">
        <w:t xml:space="preserve"> </w:t>
      </w:r>
      <w:r w:rsidR="00BC61B5">
        <w:rPr>
          <w:rFonts w:ascii="Arial" w:hAnsi="Arial"/>
          <w:b/>
          <w:noProof/>
          <w:sz w:val="24"/>
        </w:rPr>
        <w:t>1</w:t>
      </w:r>
      <w:r w:rsidRPr="00721B60">
        <w:rPr>
          <w:rFonts w:ascii="Arial" w:hAnsi="Arial"/>
          <w:b/>
          <w:noProof/>
          <w:sz w:val="24"/>
        </w:rPr>
        <w:t>7</w:t>
      </w:r>
      <w:r>
        <w:t xml:space="preserve"> </w:t>
      </w:r>
      <w:r>
        <w:rPr>
          <w:rFonts w:ascii="Arial" w:hAnsi="Arial"/>
          <w:b/>
          <w:noProof/>
          <w:sz w:val="24"/>
        </w:rPr>
        <w:t>April</w:t>
      </w:r>
      <w:r w:rsidRPr="000771BA">
        <w:rPr>
          <w:rFonts w:ascii="Arial" w:hAnsi="Arial"/>
          <w:b/>
          <w:noProof/>
          <w:sz w:val="24"/>
        </w:rPr>
        <w:t xml:space="preserve"> </w:t>
      </w:r>
      <w:r>
        <w:rPr>
          <w:rFonts w:ascii="Arial" w:hAnsi="Arial"/>
          <w:b/>
          <w:noProof/>
          <w:sz w:val="24"/>
        </w:rPr>
        <w:t>– 26 April</w:t>
      </w:r>
      <w:r w:rsidRPr="00F45BB4">
        <w:rPr>
          <w:rFonts w:ascii="Arial" w:hAnsi="Arial"/>
          <w:b/>
          <w:noProof/>
          <w:sz w:val="24"/>
        </w:rPr>
        <w:t>, 202</w:t>
      </w:r>
      <w:r>
        <w:rPr>
          <w:rFonts w:ascii="Arial" w:hAnsi="Arial"/>
          <w:b/>
          <w:noProof/>
          <w:sz w:val="24"/>
        </w:rPr>
        <w:t>3</w:t>
      </w:r>
      <w:r w:rsidR="00054B66">
        <w:rPr>
          <w:rFonts w:ascii="Arial" w:hAnsi="Arial"/>
          <w:b/>
          <w:noProof/>
          <w:sz w:val="24"/>
        </w:rPr>
        <w:t xml:space="preserve">             </w:t>
      </w:r>
      <w:r>
        <w:rPr>
          <w:rFonts w:ascii="Arial" w:hAnsi="Arial"/>
          <w:b/>
          <w:noProof/>
          <w:sz w:val="24"/>
        </w:rPr>
        <w:t xml:space="preserve">          </w:t>
      </w:r>
      <w:r w:rsidR="00054B66">
        <w:rPr>
          <w:rFonts w:ascii="Arial" w:hAnsi="Arial"/>
          <w:b/>
          <w:noProof/>
          <w:sz w:val="24"/>
        </w:rPr>
        <w:t xml:space="preserve"> (revision of </w:t>
      </w:r>
      <w:r w:rsidRPr="00694D38">
        <w:rPr>
          <w:rFonts w:ascii="Arial" w:hAnsi="Arial"/>
          <w:b/>
          <w:noProof/>
          <w:sz w:val="24"/>
        </w:rPr>
        <w:t>R2-2300991</w:t>
      </w:r>
      <w:r w:rsidR="00054B66">
        <w:rPr>
          <w:rFonts w:ascii="Arial" w:hAnsi="Arial"/>
          <w:b/>
          <w:noProof/>
          <w:sz w:val="24"/>
        </w:rPr>
        <w:t>)</w:t>
      </w:r>
    </w:p>
    <w:p w14:paraId="52AA81EA" w14:textId="77777777" w:rsidR="0034361D" w:rsidRPr="004E26BE" w:rsidRDefault="0034361D" w:rsidP="0034361D">
      <w:pPr>
        <w:pStyle w:val="a3"/>
        <w:tabs>
          <w:tab w:val="left" w:pos="6521"/>
        </w:tabs>
        <w:jc w:val="both"/>
        <w:rPr>
          <w:rFonts w:cs="Arial"/>
        </w:rPr>
      </w:pPr>
    </w:p>
    <w:p w14:paraId="7246BF27" w14:textId="6F8BC35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E1DEA9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694D38">
        <w:rPr>
          <w:rFonts w:ascii="Arial" w:hAnsi="Arial" w:cs="Arial"/>
          <w:b/>
          <w:sz w:val="24"/>
        </w:rPr>
        <w:t>Discussion on measurement report for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0E36EBDC"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694D38">
        <w:rPr>
          <w:lang w:val="x-none"/>
        </w:rPr>
        <w:t>1</w:t>
      </w:r>
      <w:r w:rsidRPr="00371309">
        <w:rPr>
          <w:lang w:val="x-none"/>
        </w:rPr>
        <w:t xml:space="preserve">, </w:t>
      </w:r>
      <w:r w:rsidR="00494F19">
        <w:t xml:space="preserve">the </w:t>
      </w:r>
      <w:r w:rsidR="003349C7">
        <w:t>following agreements have been reached regarding NR support for UAVs</w:t>
      </w:r>
      <w:r w:rsidRPr="00371309">
        <w:rPr>
          <w:lang w:val="x-none"/>
        </w:rPr>
        <w:t>:</w:t>
      </w:r>
    </w:p>
    <w:p w14:paraId="0711C7EE" w14:textId="77777777" w:rsidR="00694D38" w:rsidRDefault="00694D38" w:rsidP="00694D38">
      <w:pPr>
        <w:pStyle w:val="Doc-text2"/>
        <w:pBdr>
          <w:top w:val="single" w:sz="4" w:space="1" w:color="auto"/>
          <w:left w:val="single" w:sz="4" w:space="4" w:color="auto"/>
          <w:bottom w:val="single" w:sz="4" w:space="1" w:color="auto"/>
          <w:right w:val="single" w:sz="4" w:space="0" w:color="auto"/>
        </w:pBdr>
        <w:ind w:leftChars="29" w:left="421"/>
      </w:pPr>
      <w:r>
        <w:t>Agreements:</w:t>
      </w:r>
    </w:p>
    <w:p w14:paraId="502FA304" w14:textId="13D93620"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694D38">
        <w:t>FFS whether UAV UE’s height is mandatorily reported</w:t>
      </w:r>
      <w:r w:rsidRPr="002C564D">
        <w:t xml:space="preserve"> and </w:t>
      </w:r>
      <w:r w:rsidRPr="00694D38">
        <w:t>which parameter/IE is used for height reporting</w:t>
      </w:r>
      <w:r w:rsidRPr="002C564D">
        <w:t>.</w:t>
      </w:r>
    </w:p>
    <w:p w14:paraId="4E8DBB13" w14:textId="77777777" w:rsidR="00694D38" w:rsidRPr="00265746"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rPr>
          <w:i/>
          <w:iCs/>
        </w:rPr>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2E4EB3F3" w14:textId="77777777"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rsidRPr="00265746">
        <w:t>Height-dependent parameter scaling is not supported as a part of Rel-18 NR</w:t>
      </w:r>
    </w:p>
    <w:p w14:paraId="1C5A4846" w14:textId="77777777"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Do not extend the Number of triggering cells mechanism to apply to the inter-RAT scenario, i.e. event B1 and B2 triggering</w:t>
      </w:r>
    </w:p>
    <w:p w14:paraId="4E93547C" w14:textId="0EFE3801"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Do not restrict the applicability of Number of triggering cells mechanism to FR1 only. In other words, the Number of triggering cells mechanism is applicable to FR1 and FR2 (up to network configuration).</w:t>
      </w:r>
    </w:p>
    <w:p w14:paraId="051CF596" w14:textId="77777777"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The UE shall not ignore or bypass the Number of triggering cells mechanism, once configured.</w:t>
      </w:r>
    </w:p>
    <w:p w14:paraId="43063B7B" w14:textId="77777777"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Do not introduce the use of a “</w:t>
      </w:r>
      <w:proofErr w:type="spellStart"/>
      <w:r>
        <w:t>numberOfTriggeringBeams</w:t>
      </w:r>
      <w:proofErr w:type="spellEnd"/>
      <w:r>
        <w:t>” mechanism.</w:t>
      </w:r>
    </w:p>
    <w:p w14:paraId="6124BC2B" w14:textId="49B731B0" w:rsidR="00694D38" w:rsidRPr="00C819C1"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rsidRPr="00C819C1">
        <w:t>Do not introduce an alternative mechanism to the Number of triggering cells mechanism.</w:t>
      </w:r>
    </w:p>
    <w:p w14:paraId="59539955" w14:textId="13FA170A" w:rsidR="00694D38" w:rsidRPr="00C819C1"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rsidRPr="00C819C1">
        <w:t>Do not introduce an additional mechanism based on Number of changed cells.</w:t>
      </w:r>
    </w:p>
    <w:p w14:paraId="772E384E" w14:textId="7C5295E6"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For the purpose of interference control (i.e. for number of trigger cells), do not introduce a prohibit timer mechanism.</w:t>
      </w:r>
    </w:p>
    <w:p w14:paraId="4332EDCA" w14:textId="074D8C66" w:rsidR="00694D38" w:rsidRDefault="00694D38" w:rsidP="00694D38">
      <w:pPr>
        <w:pStyle w:val="Doc-text2"/>
        <w:numPr>
          <w:ilvl w:val="0"/>
          <w:numId w:val="16"/>
        </w:numPr>
        <w:pBdr>
          <w:top w:val="single" w:sz="4" w:space="1" w:color="auto"/>
          <w:left w:val="single" w:sz="4" w:space="4" w:color="auto"/>
          <w:bottom w:val="single" w:sz="4" w:space="1" w:color="auto"/>
          <w:right w:val="single" w:sz="4" w:space="0" w:color="auto"/>
        </w:pBdr>
        <w:ind w:leftChars="29" w:left="418"/>
      </w:pPr>
      <w:r>
        <w:t>Report on leave is not triggered by a cell that was not previously included in the measurement report for the number of triggering cell.</w:t>
      </w:r>
    </w:p>
    <w:p w14:paraId="3C0D49E7" w14:textId="59201C0C" w:rsidR="00B13434" w:rsidRPr="003349C7" w:rsidRDefault="003349C7" w:rsidP="00FC522F">
      <w:pPr>
        <w:spacing w:before="120" w:after="120"/>
        <w:jc w:val="both"/>
        <w:rPr>
          <w:rFonts w:eastAsiaTheme="minorEastAsia"/>
          <w:lang w:eastAsia="zh-CN"/>
        </w:rPr>
      </w:pPr>
      <w:r>
        <w:t>As we can see, there are some FFS that remain to be analysed.</w:t>
      </w:r>
      <w:r w:rsidR="00720213" w:rsidRPr="00054B66">
        <w:t xml:space="preserve"> This </w:t>
      </w:r>
      <w:r w:rsidR="00404574">
        <w:t>contribution</w:t>
      </w:r>
      <w:r w:rsidR="00404574" w:rsidRPr="00054B66">
        <w:t xml:space="preserve"> </w:t>
      </w:r>
      <w:r w:rsidR="00720213" w:rsidRPr="00054B66">
        <w:t xml:space="preserve">a revision of </w:t>
      </w:r>
      <w:r w:rsidR="00694D38" w:rsidRPr="00694D38">
        <w:t>R2-2300991</w:t>
      </w:r>
      <w:r w:rsidR="00720213" w:rsidRPr="00054B66">
        <w:t>. Compared to the previous version we analysed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4E73C375" w14:textId="1198D7F8" w:rsidR="00633C6E" w:rsidRDefault="00257149" w:rsidP="00633C6E">
      <w:r>
        <w:t>The measurement report is sent when the UAV is greater/less than the height threshold, i.e., event H1/H2 is triggered. Meanwhile, the height threshold is configured by the NW. It means that the height is implied in measured result when the NW received the MR triggered by eventH1/H2. Thus, the height of UE should not be mandatory when event H1/H2 is triggered.</w:t>
      </w:r>
    </w:p>
    <w:p w14:paraId="6924D602" w14:textId="265C7024" w:rsidR="00E84B7B" w:rsidRDefault="00E84B7B" w:rsidP="00633C6E">
      <w:pPr>
        <w:rPr>
          <w:rFonts w:eastAsiaTheme="minorEastAsia"/>
          <w:b/>
          <w:lang w:eastAsia="zh-CN"/>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sidR="00257149">
        <w:rPr>
          <w:rFonts w:eastAsiaTheme="minorEastAsia"/>
          <w:b/>
          <w:lang w:eastAsia="zh-CN"/>
        </w:rPr>
        <w:t>T</w:t>
      </w:r>
      <w:r w:rsidR="00257149" w:rsidRPr="00257149">
        <w:rPr>
          <w:rFonts w:eastAsiaTheme="minorEastAsia"/>
          <w:b/>
          <w:lang w:eastAsia="zh-CN"/>
        </w:rPr>
        <w:t>he height of UE should not be mandatory when event H1/H2 is triggered.</w:t>
      </w:r>
    </w:p>
    <w:p w14:paraId="65FBB13F" w14:textId="76F1E3C1" w:rsidR="00A2543D" w:rsidRPr="00756440" w:rsidRDefault="00257149" w:rsidP="00756440">
      <w:pPr>
        <w:rPr>
          <w:rFonts w:eastAsiaTheme="minorEastAsia"/>
          <w:lang w:eastAsia="zh-CN"/>
        </w:rPr>
      </w:pPr>
      <w:r>
        <w:rPr>
          <w:rFonts w:eastAsiaTheme="minorEastAsia"/>
          <w:lang w:eastAsia="zh-CN"/>
        </w:rPr>
        <w:t xml:space="preserve">The height of UE is represented by the IE </w:t>
      </w:r>
      <w:proofErr w:type="spellStart"/>
      <w:r>
        <w:rPr>
          <w:rFonts w:eastAsiaTheme="minorEastAsia"/>
          <w:lang w:eastAsia="zh-CN"/>
        </w:rPr>
        <w:t>heightUE</w:t>
      </w:r>
      <w:proofErr w:type="spellEnd"/>
      <w:r>
        <w:rPr>
          <w:rFonts w:eastAsiaTheme="minorEastAsia"/>
          <w:lang w:eastAsia="zh-CN"/>
        </w:rPr>
        <w:t xml:space="preserve"> in LTE. The height UE </w:t>
      </w:r>
      <w:r>
        <w:rPr>
          <w:lang w:eastAsia="en-GB"/>
        </w:rPr>
        <w:t>i</w:t>
      </w:r>
      <w:r w:rsidRPr="00E136FF">
        <w:rPr>
          <w:lang w:eastAsia="en-GB"/>
        </w:rPr>
        <w:t>ndicates height of the UE in meters relative to the sea level</w:t>
      </w:r>
      <w:r w:rsidR="00756440">
        <w:rPr>
          <w:lang w:eastAsia="en-GB"/>
        </w:rPr>
        <w:t xml:space="preserve"> and it ranges from -400m to 8000m. It can be reused for NR UAV due to the height of UAV does not exceed the existing range.</w:t>
      </w:r>
    </w:p>
    <w:p w14:paraId="3F9E004B" w14:textId="5FE2F9CB" w:rsidR="00DF3954" w:rsidRDefault="005418DA" w:rsidP="00E444D7">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967744">
        <w:rPr>
          <w:rFonts w:eastAsiaTheme="minorEastAsia"/>
          <w:b/>
          <w:lang w:eastAsia="zh-CN"/>
        </w:rPr>
        <w:t xml:space="preserve">As in LTE, </w:t>
      </w:r>
      <w:r w:rsidR="00967744">
        <w:rPr>
          <w:b/>
        </w:rPr>
        <w:t>t</w:t>
      </w:r>
      <w:r w:rsidR="00756440">
        <w:rPr>
          <w:b/>
        </w:rPr>
        <w:t xml:space="preserve">he IE </w:t>
      </w:r>
      <w:proofErr w:type="spellStart"/>
      <w:r w:rsidR="00756440">
        <w:rPr>
          <w:b/>
        </w:rPr>
        <w:t>heightUE</w:t>
      </w:r>
      <w:proofErr w:type="spellEnd"/>
      <w:r w:rsidR="00756440">
        <w:rPr>
          <w:b/>
        </w:rPr>
        <w:t xml:space="preserve"> can be reused in NR.</w:t>
      </w:r>
    </w:p>
    <w:p w14:paraId="090E9E78" w14:textId="255C1BD7" w:rsidR="00756440" w:rsidRDefault="009011D9" w:rsidP="00E444D7">
      <w:pPr>
        <w:rPr>
          <w:rFonts w:eastAsiaTheme="minorEastAsia"/>
          <w:lang w:eastAsia="zh-CN"/>
        </w:rPr>
      </w:pPr>
      <w:r w:rsidRPr="009011D9">
        <w:rPr>
          <w:rFonts w:eastAsiaTheme="minorEastAsia"/>
          <w:lang w:eastAsia="zh-CN"/>
        </w:rPr>
        <w:t>RAN2 has agreed height-dependent multiple configuration</w:t>
      </w:r>
      <w:r w:rsidR="00F12861">
        <w:rPr>
          <w:rFonts w:eastAsiaTheme="minorEastAsia"/>
          <w:lang w:eastAsia="zh-CN"/>
        </w:rPr>
        <w:t xml:space="preserve"> in last meeting</w:t>
      </w:r>
      <w:r w:rsidRPr="009011D9">
        <w:rPr>
          <w:rFonts w:eastAsiaTheme="minorEastAsia"/>
          <w:lang w:eastAsia="zh-CN"/>
        </w:rPr>
        <w:t xml:space="preserve">. We believe that </w:t>
      </w:r>
      <w:proofErr w:type="spellStart"/>
      <w:r w:rsidRPr="009011D9">
        <w:rPr>
          <w:rFonts w:eastAsiaTheme="minorEastAsia"/>
          <w:lang w:eastAsia="zh-CN"/>
        </w:rPr>
        <w:t>NumberOfTriggeringCells</w:t>
      </w:r>
      <w:proofErr w:type="spellEnd"/>
      <w:r w:rsidRPr="009011D9">
        <w:rPr>
          <w:rFonts w:eastAsiaTheme="minorEastAsia"/>
          <w:lang w:eastAsia="zh-CN"/>
        </w:rPr>
        <w:t xml:space="preserve"> and TTT parameter can be height-dependent. Besides, we think that height state scale factors can be defined for these height-dependent parameters. Similar to the IE </w:t>
      </w:r>
      <w:proofErr w:type="spellStart"/>
      <w:r w:rsidRPr="009011D9">
        <w:rPr>
          <w:rFonts w:eastAsiaTheme="minorEastAsia"/>
          <w:lang w:eastAsia="zh-CN"/>
        </w:rPr>
        <w:t>SpeedsStateScaleFactors</w:t>
      </w:r>
      <w:proofErr w:type="spellEnd"/>
      <w:r w:rsidRPr="009011D9">
        <w:rPr>
          <w:rFonts w:eastAsiaTheme="minorEastAsia"/>
          <w:lang w:eastAsia="zh-CN"/>
        </w:rPr>
        <w:t xml:space="preserve">, height state scale factor can be applied when the UE is in a medium or high height state and used for scaling a height-dependent parameter. Compared to configure each parameter for different height separately, use height state scale factor can unified all height-dependent parameter very well. It can save a lot of radio resources. We assume, for example, that TTT and </w:t>
      </w:r>
      <w:proofErr w:type="spellStart"/>
      <w:r w:rsidRPr="009011D9">
        <w:rPr>
          <w:rFonts w:eastAsiaTheme="minorEastAsia"/>
          <w:lang w:eastAsia="zh-CN"/>
        </w:rPr>
        <w:t>NumberOfTriggeringCells</w:t>
      </w:r>
      <w:proofErr w:type="spellEnd"/>
      <w:r w:rsidRPr="009011D9">
        <w:rPr>
          <w:rFonts w:eastAsiaTheme="minorEastAsia"/>
          <w:lang w:eastAsia="zh-CN"/>
        </w:rPr>
        <w:t xml:space="preserve"> are height dependent. The NW needs to configure multiple sets of these two parameters for the legacy mechanism, e.g., TTT value1 for 100m, TTT value2 for 200m, TTT value3 for 300m, and N1 for 100m, N2 for 200m, and N3 for 300m. However, if the height state scale factor is applied, the NW only needs to configure TTT value0 and N0 and scaling factors 1, 2 and 3 for 100, 200 and 300 meters, respectively. The UE autonomously scales the TTT and N by </w:t>
      </w:r>
      <w:r w:rsidRPr="009011D9">
        <w:rPr>
          <w:rFonts w:eastAsiaTheme="minorEastAsia"/>
          <w:lang w:eastAsia="zh-CN"/>
        </w:rPr>
        <w:lastRenderedPageBreak/>
        <w:t>multiplying the scaling factors according to the altitude. The result can be round up or round down if the parameters are integer. As we can see, the more parameters that are height-dependent, the more radio resources can be saved by using height-state scale factors.</w:t>
      </w:r>
    </w:p>
    <w:p w14:paraId="59A4DFBF" w14:textId="2B72E1BB" w:rsidR="00F12861" w:rsidRPr="00F12861" w:rsidRDefault="00F12861" w:rsidP="00E444D7">
      <w:pPr>
        <w:rPr>
          <w:b/>
        </w:rPr>
      </w:pPr>
      <w:r w:rsidRPr="006034C9">
        <w:rPr>
          <w:rFonts w:eastAsiaTheme="minorEastAsia"/>
          <w:b/>
          <w:lang w:eastAsia="zh-CN"/>
        </w:rPr>
        <w:t xml:space="preserve">Proposal </w:t>
      </w:r>
      <w:r>
        <w:rPr>
          <w:rFonts w:eastAsiaTheme="minorEastAsia"/>
          <w:b/>
          <w:lang w:eastAsia="zh-CN"/>
        </w:rPr>
        <w:t>3</w:t>
      </w:r>
      <w:r w:rsidRPr="006034C9">
        <w:rPr>
          <w:rFonts w:eastAsiaTheme="minorEastAsia"/>
          <w:b/>
          <w:lang w:eastAsia="zh-CN"/>
        </w:rPr>
        <w:t xml:space="preserve">: </w:t>
      </w:r>
      <w:r>
        <w:rPr>
          <w:rStyle w:val="afe"/>
          <w:color w:val="252525"/>
        </w:rPr>
        <w:t xml:space="preserve">The TTT and the </w:t>
      </w:r>
      <w:proofErr w:type="spellStart"/>
      <w:r>
        <w:rPr>
          <w:rStyle w:val="afe"/>
          <w:color w:val="252525"/>
        </w:rPr>
        <w:t>NumberOfTriggeringCells</w:t>
      </w:r>
      <w:proofErr w:type="spellEnd"/>
      <w:r>
        <w:rPr>
          <w:rStyle w:val="afe"/>
          <w:color w:val="252525"/>
        </w:rPr>
        <w:t xml:space="preserve"> can be height-dependent, and they are adjusted based on </w:t>
      </w:r>
      <w:proofErr w:type="spellStart"/>
      <w:r>
        <w:rPr>
          <w:rStyle w:val="afe"/>
          <w:color w:val="252525"/>
        </w:rPr>
        <w:t>HeightStateScalFactor</w:t>
      </w:r>
      <w:proofErr w:type="spellEnd"/>
      <w:r>
        <w:rPr>
          <w:rStyle w:val="afe"/>
          <w:color w:val="252525"/>
        </w:rPr>
        <w:t>.</w:t>
      </w:r>
    </w:p>
    <w:p w14:paraId="2117A17D" w14:textId="62504CE1" w:rsidR="009011D9" w:rsidRDefault="009011D9" w:rsidP="00E444D7">
      <w:pPr>
        <w:rPr>
          <w:rFonts w:eastAsia="宋体"/>
          <w:lang w:eastAsia="zh-CN"/>
        </w:rPr>
      </w:pPr>
      <w:r>
        <w:rPr>
          <w:rFonts w:eastAsia="宋体"/>
          <w:lang w:eastAsia="zh-CN"/>
        </w:rPr>
        <w:t xml:space="preserve">We need to consider how to handle the running parameters or configurations, i.e., </w:t>
      </w:r>
      <w:proofErr w:type="spellStart"/>
      <w:r>
        <w:rPr>
          <w:rFonts w:eastAsia="宋体"/>
          <w:lang w:eastAsia="zh-CN"/>
        </w:rPr>
        <w:t>cellsTriggeredList</w:t>
      </w:r>
      <w:proofErr w:type="spellEnd"/>
      <w:r>
        <w:rPr>
          <w:rFonts w:eastAsia="宋体"/>
          <w:lang w:eastAsia="zh-CN"/>
        </w:rPr>
        <w:t xml:space="preserve"> if the measurement </w:t>
      </w:r>
      <w:r>
        <w:t xml:space="preserve">configuration </w:t>
      </w:r>
      <w:r>
        <w:rPr>
          <w:rFonts w:eastAsia="宋体"/>
          <w:lang w:eastAsia="zh-CN"/>
        </w:rPr>
        <w:t xml:space="preserve">has changed. For the TTT, the UE should maintain the running TTT, rather than reset the TTT, in order to send the MR immediately. For the </w:t>
      </w:r>
      <w:proofErr w:type="spellStart"/>
      <w:r>
        <w:rPr>
          <w:rFonts w:eastAsia="宋体"/>
          <w:lang w:eastAsia="zh-CN"/>
        </w:rPr>
        <w:t>cellsTriggeredList</w:t>
      </w:r>
      <w:proofErr w:type="spellEnd"/>
      <w:r>
        <w:rPr>
          <w:rFonts w:eastAsia="宋体"/>
          <w:lang w:eastAsia="zh-CN"/>
        </w:rPr>
        <w:t xml:space="preserve">, if the </w:t>
      </w:r>
      <w:proofErr w:type="spellStart"/>
      <w:r>
        <w:t>NumberOfTriggeringCells</w:t>
      </w:r>
      <w:proofErr w:type="spellEnd"/>
      <w:r>
        <w:t xml:space="preserve"> is changed, we need to specify the UE behaviour. According to the 38.331, the UE will remove the cell in the</w:t>
      </w:r>
      <w:r>
        <w:rPr>
          <w:rFonts w:eastAsia="宋体"/>
          <w:lang w:eastAsia="zh-CN"/>
        </w:rPr>
        <w:t xml:space="preserve"> </w:t>
      </w:r>
      <w:proofErr w:type="spellStart"/>
      <w:r>
        <w:rPr>
          <w:rFonts w:eastAsia="宋体"/>
          <w:lang w:eastAsia="zh-CN"/>
        </w:rPr>
        <w:t>cellsTriggeredList</w:t>
      </w:r>
      <w:proofErr w:type="spellEnd"/>
      <w:r>
        <w:rPr>
          <w:rFonts w:eastAsia="宋体"/>
          <w:lang w:eastAsia="zh-CN"/>
        </w:rPr>
        <w:t xml:space="preserve"> if the </w:t>
      </w:r>
      <w:proofErr w:type="spellStart"/>
      <w:r>
        <w:t>NumberOfTriggeringCells</w:t>
      </w:r>
      <w:proofErr w:type="spellEnd"/>
      <w:r>
        <w:t xml:space="preserve"> is re-configured because </w:t>
      </w:r>
      <w:r w:rsidRPr="00E136FF">
        <w:rPr>
          <w:lang w:eastAsia="zh-CN"/>
        </w:rPr>
        <w:t>the</w:t>
      </w:r>
      <w:r w:rsidRPr="00E136FF">
        <w:t xml:space="preserve"> measurement reporting entry</w:t>
      </w:r>
      <w:r>
        <w:t xml:space="preserve"> needs to be removed when the </w:t>
      </w:r>
      <w:proofErr w:type="spellStart"/>
      <w:r>
        <w:t>ReportConfig</w:t>
      </w:r>
      <w:proofErr w:type="spellEnd"/>
      <w:r>
        <w:t xml:space="preserve"> is re-configured. However, the late report issue already existed when the </w:t>
      </w:r>
      <w:proofErr w:type="spellStart"/>
      <w:r>
        <w:t>NumberOfTriggeringCells</w:t>
      </w:r>
      <w:proofErr w:type="spellEnd"/>
      <w:r>
        <w:t xml:space="preserve"> was introduced in NR. The late report issue will be heavier if the UE removes the cell in the </w:t>
      </w:r>
      <w:proofErr w:type="spellStart"/>
      <w:r>
        <w:rPr>
          <w:rFonts w:eastAsia="宋体"/>
          <w:lang w:eastAsia="zh-CN"/>
        </w:rPr>
        <w:t>cellsTriggeredList</w:t>
      </w:r>
      <w:proofErr w:type="spellEnd"/>
      <w:r>
        <w:rPr>
          <w:rFonts w:eastAsia="宋体"/>
          <w:lang w:eastAsia="zh-CN"/>
        </w:rPr>
        <w:t xml:space="preserve"> when the </w:t>
      </w:r>
      <w:proofErr w:type="spellStart"/>
      <w:r>
        <w:t>NumberOfTriggeringCells</w:t>
      </w:r>
      <w:proofErr w:type="spellEnd"/>
      <w:r>
        <w:t xml:space="preserve"> is re-configured. Furthermore, the case is also different, the UE change the </w:t>
      </w:r>
      <w:proofErr w:type="spellStart"/>
      <w:r>
        <w:t>NumberOfTriggeringCells</w:t>
      </w:r>
      <w:proofErr w:type="spellEnd"/>
      <w:r>
        <w:t xml:space="preserve"> on its own rather than the NW re-configure the </w:t>
      </w:r>
      <w:proofErr w:type="spellStart"/>
      <w:r>
        <w:t>ReportConfig</w:t>
      </w:r>
      <w:proofErr w:type="spellEnd"/>
      <w:r>
        <w:t xml:space="preserve">. Thus, </w:t>
      </w:r>
      <w:r>
        <w:rPr>
          <w:rFonts w:eastAsia="宋体"/>
          <w:lang w:eastAsia="zh-CN"/>
        </w:rPr>
        <w:t xml:space="preserve">the UE should also maintain the current </w:t>
      </w:r>
      <w:proofErr w:type="spellStart"/>
      <w:r>
        <w:rPr>
          <w:rFonts w:eastAsia="宋体"/>
          <w:lang w:eastAsia="zh-CN"/>
        </w:rPr>
        <w:t>cellsTriggeredList</w:t>
      </w:r>
      <w:proofErr w:type="spellEnd"/>
      <w:r>
        <w:rPr>
          <w:rFonts w:eastAsia="宋体"/>
          <w:lang w:eastAsia="zh-CN"/>
        </w:rPr>
        <w:t xml:space="preserve"> rather than remove the cell in the </w:t>
      </w:r>
      <w:proofErr w:type="spellStart"/>
      <w:r>
        <w:rPr>
          <w:rFonts w:eastAsia="宋体"/>
          <w:lang w:eastAsia="zh-CN"/>
        </w:rPr>
        <w:t>cellsTriggeredList</w:t>
      </w:r>
      <w:proofErr w:type="spellEnd"/>
      <w:r>
        <w:rPr>
          <w:rFonts w:eastAsia="宋体"/>
          <w:lang w:eastAsia="zh-CN"/>
        </w:rPr>
        <w:t xml:space="preserve"> in order to send the MR immediately too.</w:t>
      </w:r>
    </w:p>
    <w:p w14:paraId="3DA235AC" w14:textId="6D4979E0" w:rsidR="00F647C5" w:rsidRPr="00F647C5" w:rsidRDefault="00F647C5" w:rsidP="00E444D7">
      <w:pPr>
        <w:rPr>
          <w:b/>
        </w:rPr>
      </w:pPr>
      <w:r w:rsidRPr="006034C9">
        <w:rPr>
          <w:rFonts w:eastAsiaTheme="minorEastAsia"/>
          <w:b/>
          <w:lang w:eastAsia="zh-CN"/>
        </w:rPr>
        <w:t xml:space="preserve">Proposal </w:t>
      </w:r>
      <w:r>
        <w:rPr>
          <w:rFonts w:eastAsiaTheme="minorEastAsia"/>
          <w:b/>
          <w:lang w:eastAsia="zh-CN"/>
        </w:rPr>
        <w:t>4</w:t>
      </w:r>
      <w:r w:rsidRPr="006034C9">
        <w:rPr>
          <w:rFonts w:eastAsiaTheme="minorEastAsia"/>
          <w:b/>
          <w:lang w:eastAsia="zh-CN"/>
        </w:rPr>
        <w:t xml:space="preserve">: </w:t>
      </w:r>
      <w:r>
        <w:rPr>
          <w:rStyle w:val="afe"/>
          <w:color w:val="252525"/>
        </w:rPr>
        <w:t xml:space="preserve">The cells include in </w:t>
      </w:r>
      <w:proofErr w:type="spellStart"/>
      <w:r w:rsidRPr="00F647C5">
        <w:rPr>
          <w:rStyle w:val="afe"/>
          <w:color w:val="252525"/>
        </w:rPr>
        <w:t>cellsTriggeredList</w:t>
      </w:r>
      <w:proofErr w:type="spellEnd"/>
      <w:r>
        <w:rPr>
          <w:rStyle w:val="afe"/>
          <w:color w:val="252525"/>
        </w:rPr>
        <w:t xml:space="preserve"> should not be removed when the UE changed the </w:t>
      </w:r>
      <w:proofErr w:type="spellStart"/>
      <w:r w:rsidRPr="00F647C5">
        <w:rPr>
          <w:rStyle w:val="afe"/>
          <w:color w:val="252525"/>
        </w:rPr>
        <w:t>NumberOfTriggeringCells</w:t>
      </w:r>
      <w:proofErr w:type="spellEnd"/>
      <w:r>
        <w:rPr>
          <w:rStyle w:val="afe"/>
          <w:color w:val="252525"/>
        </w:rPr>
        <w:t xml:space="preserve"> based on height.</w:t>
      </w:r>
    </w:p>
    <w:p w14:paraId="396ED5A4" w14:textId="0F1397AC" w:rsidR="008E4CCD" w:rsidRDefault="00095660" w:rsidP="00E444D7">
      <w:pPr>
        <w:rPr>
          <w:rFonts w:eastAsia="宋体"/>
          <w:lang w:eastAsia="zh-CN"/>
        </w:rPr>
      </w:pPr>
      <w:r w:rsidRPr="00CC1F2D">
        <w:t xml:space="preserve">In </w:t>
      </w:r>
      <w:r w:rsidR="00967744">
        <w:t xml:space="preserve">the </w:t>
      </w:r>
      <w:r w:rsidRPr="00CC1F2D">
        <w:t xml:space="preserve">present, we discuss the height dependent multiple configurations </w:t>
      </w:r>
      <w:r w:rsidR="00CC1F2D" w:rsidRPr="00CC1F2D">
        <w:t xml:space="preserve">for </w:t>
      </w:r>
      <w:proofErr w:type="spellStart"/>
      <w:r w:rsidR="00CC1F2D" w:rsidRPr="00CC1F2D">
        <w:t>RRC_connected</w:t>
      </w:r>
      <w:proofErr w:type="spellEnd"/>
      <w:r w:rsidR="00CC1F2D" w:rsidRPr="00CC1F2D">
        <w:t xml:space="preserve"> UAV.</w:t>
      </w:r>
      <w:r w:rsidR="00CC1F2D">
        <w:rPr>
          <w:rFonts w:eastAsiaTheme="minorEastAsia"/>
          <w:b/>
          <w:lang w:eastAsia="zh-CN"/>
        </w:rPr>
        <w:t xml:space="preserve"> </w:t>
      </w:r>
      <w:r w:rsidR="00C21D45" w:rsidRPr="00A63A99">
        <w:rPr>
          <w:rFonts w:eastAsia="宋体"/>
          <w:lang w:eastAsia="zh-CN"/>
        </w:rPr>
        <w:t>However, the UAV may</w:t>
      </w:r>
      <w:r w:rsidR="00967744">
        <w:rPr>
          <w:rFonts w:eastAsia="宋体"/>
          <w:lang w:eastAsia="zh-CN"/>
        </w:rPr>
        <w:t xml:space="preserve"> be</w:t>
      </w:r>
      <w:r w:rsidR="00C21D45" w:rsidRPr="00A63A99">
        <w:rPr>
          <w:rFonts w:eastAsia="宋体"/>
          <w:lang w:eastAsia="zh-CN"/>
        </w:rPr>
        <w:t xml:space="preserve"> in RRC_IDLE or </w:t>
      </w:r>
      <w:proofErr w:type="spellStart"/>
      <w:r w:rsidR="00C21D45" w:rsidRPr="00A63A99">
        <w:rPr>
          <w:rFonts w:eastAsia="宋体"/>
          <w:lang w:eastAsia="zh-CN"/>
        </w:rPr>
        <w:t>RRC_Inactive</w:t>
      </w:r>
      <w:proofErr w:type="spellEnd"/>
      <w:r w:rsidR="00C21D45" w:rsidRPr="00A63A99">
        <w:rPr>
          <w:rFonts w:eastAsia="宋体"/>
          <w:lang w:eastAsia="zh-CN"/>
        </w:rPr>
        <w:t xml:space="preserve"> state when it </w:t>
      </w:r>
      <w:r w:rsidR="00967744">
        <w:rPr>
          <w:rFonts w:eastAsia="宋体"/>
          <w:lang w:eastAsia="zh-CN"/>
        </w:rPr>
        <w:t xml:space="preserve">is </w:t>
      </w:r>
      <w:r w:rsidR="00C21D45" w:rsidRPr="00A63A99">
        <w:rPr>
          <w:rFonts w:eastAsia="宋体"/>
          <w:lang w:eastAsia="zh-CN"/>
        </w:rPr>
        <w:t xml:space="preserve">flying. Thus, the height-dependent measurement configurations should </w:t>
      </w:r>
      <w:r w:rsidR="00A63A99">
        <w:rPr>
          <w:rFonts w:eastAsia="宋体"/>
          <w:lang w:eastAsia="zh-CN"/>
        </w:rPr>
        <w:t xml:space="preserve">be </w:t>
      </w:r>
      <w:r w:rsidR="00C21D45" w:rsidRPr="00A63A99">
        <w:rPr>
          <w:rFonts w:eastAsia="宋体"/>
          <w:lang w:eastAsia="zh-CN"/>
        </w:rPr>
        <w:t xml:space="preserve">extended to RRC_IDLE or </w:t>
      </w:r>
      <w:proofErr w:type="spellStart"/>
      <w:r w:rsidR="00C21D45" w:rsidRPr="00A63A99">
        <w:rPr>
          <w:rFonts w:eastAsia="宋体"/>
          <w:lang w:eastAsia="zh-CN"/>
        </w:rPr>
        <w:t>RRC_Inactive</w:t>
      </w:r>
      <w:proofErr w:type="spellEnd"/>
      <w:r w:rsidR="00C21D45" w:rsidRPr="00A63A99">
        <w:rPr>
          <w:rFonts w:eastAsia="宋体"/>
          <w:lang w:eastAsia="zh-CN"/>
        </w:rPr>
        <w:t xml:space="preserve"> UAV. </w:t>
      </w:r>
      <w:r w:rsidR="00A63A99">
        <w:rPr>
          <w:rFonts w:eastAsia="宋体"/>
          <w:lang w:eastAsia="zh-CN"/>
        </w:rPr>
        <w:t>For example, the NW can configure the allow</w:t>
      </w:r>
      <w:r w:rsidR="00967744">
        <w:rPr>
          <w:rFonts w:eastAsia="宋体"/>
          <w:lang w:eastAsia="zh-CN"/>
        </w:rPr>
        <w:t>ed</w:t>
      </w:r>
      <w:r w:rsidR="00A63A99">
        <w:rPr>
          <w:rFonts w:eastAsia="宋体"/>
          <w:lang w:eastAsia="zh-CN"/>
        </w:rPr>
        <w:t xml:space="preserve"> cell list to the UAV according to the height of UAV. Specifically, the NW broadcast the height threshold and the corresponding allowed cell list to measure. Then, the UAV measure</w:t>
      </w:r>
      <w:r w:rsidR="00967744">
        <w:rPr>
          <w:rFonts w:eastAsia="宋体"/>
          <w:lang w:eastAsia="zh-CN"/>
        </w:rPr>
        <w:t>s</w:t>
      </w:r>
      <w:r w:rsidR="00A63A99">
        <w:rPr>
          <w:rFonts w:eastAsia="宋体"/>
          <w:lang w:eastAsia="zh-CN"/>
        </w:rPr>
        <w:t xml:space="preserve"> the cells include</w:t>
      </w:r>
      <w:r w:rsidR="005C5A0D">
        <w:rPr>
          <w:rFonts w:eastAsia="宋体"/>
          <w:lang w:eastAsia="zh-CN"/>
        </w:rPr>
        <w:t>d</w:t>
      </w:r>
      <w:r w:rsidR="00A63A99">
        <w:rPr>
          <w:rFonts w:eastAsia="宋体"/>
          <w:lang w:eastAsia="zh-CN"/>
        </w:rPr>
        <w:t xml:space="preserve"> in the corresponding list when it reaches the height threshold.</w:t>
      </w:r>
    </w:p>
    <w:p w14:paraId="2AE30E6F" w14:textId="31CCE5AF" w:rsidR="00756440" w:rsidRDefault="008E4CCD" w:rsidP="00E444D7">
      <w:pPr>
        <w:rPr>
          <w:b/>
        </w:rPr>
      </w:pPr>
      <w:r w:rsidRPr="006034C9">
        <w:rPr>
          <w:rFonts w:eastAsiaTheme="minorEastAsia"/>
          <w:b/>
          <w:lang w:eastAsia="zh-CN"/>
        </w:rPr>
        <w:t xml:space="preserve">Proposal </w:t>
      </w:r>
      <w:r>
        <w:rPr>
          <w:rFonts w:eastAsiaTheme="minorEastAsia"/>
          <w:b/>
          <w:lang w:eastAsia="zh-CN"/>
        </w:rPr>
        <w:t>5</w:t>
      </w:r>
      <w:r w:rsidRPr="006034C9">
        <w:rPr>
          <w:rFonts w:eastAsiaTheme="minorEastAsia"/>
          <w:b/>
          <w:lang w:eastAsia="zh-CN"/>
        </w:rPr>
        <w:t xml:space="preserve">: </w:t>
      </w:r>
      <w:r w:rsidR="00AA185F">
        <w:rPr>
          <w:b/>
        </w:rPr>
        <w:t>The</w:t>
      </w:r>
      <w:r w:rsidR="00AA185F" w:rsidRPr="007D193F">
        <w:rPr>
          <w:b/>
        </w:rPr>
        <w:t xml:space="preserve"> height-dependent multiple measurement configurations </w:t>
      </w:r>
      <w:r w:rsidR="00AA185F">
        <w:rPr>
          <w:b/>
        </w:rPr>
        <w:t>should be extended to</w:t>
      </w:r>
      <w:r w:rsidR="00AA185F" w:rsidRPr="007D193F">
        <w:rPr>
          <w:b/>
        </w:rPr>
        <w:t xml:space="preserve"> idle/inactive UE.</w:t>
      </w:r>
    </w:p>
    <w:p w14:paraId="5B7CF102" w14:textId="3118A805" w:rsidR="00273B93" w:rsidRDefault="00273B93" w:rsidP="00E444D7">
      <w:pPr>
        <w:rPr>
          <w:rFonts w:eastAsiaTheme="minorEastAsia"/>
          <w:lang w:eastAsia="zh-CN"/>
        </w:rPr>
      </w:pPr>
      <w:r w:rsidRPr="00273B93">
        <w:rPr>
          <w:rFonts w:hint="eastAsia"/>
        </w:rPr>
        <w:t>I</w:t>
      </w:r>
      <w:r w:rsidRPr="00273B93">
        <w:t>n the email discussion about height-dependent configuration</w:t>
      </w:r>
      <w:r w:rsidR="00BA6518">
        <w:t xml:space="preserve"> [1]</w:t>
      </w:r>
      <w:r w:rsidRPr="00273B93">
        <w:t xml:space="preserve">, </w:t>
      </w:r>
      <w:r>
        <w:t>a lot of height-dependent parameters have been proposed. However, we do not think all the proposed height-dependent parameters are needed. For example, some companies proposed that the number of measurement reports should be height-dependent. We think it is not reasonable to limit the number of measurement reports because it is controlled by the triggering condition. Thus, we should restrict the triggering condition for measurement reports.</w:t>
      </w:r>
      <w:r>
        <w:rPr>
          <w:rFonts w:eastAsiaTheme="minorEastAsia" w:hint="eastAsia"/>
          <w:lang w:eastAsia="zh-CN"/>
        </w:rPr>
        <w:t xml:space="preserve"> </w:t>
      </w:r>
      <w:r>
        <w:rPr>
          <w:rFonts w:eastAsiaTheme="minorEastAsia"/>
          <w:lang w:eastAsia="zh-CN"/>
        </w:rPr>
        <w:t>In a word, RAN2 should sufficiently discuss the proposed height-dependent parameters.</w:t>
      </w:r>
    </w:p>
    <w:p w14:paraId="6B348BFB" w14:textId="207D4E48" w:rsidR="00273B93" w:rsidRPr="00273B93" w:rsidRDefault="00273B93" w:rsidP="00E444D7">
      <w:pPr>
        <w:rPr>
          <w:rFonts w:eastAsiaTheme="minorEastAsia"/>
          <w:lang w:eastAsia="zh-CN"/>
        </w:rPr>
      </w:pPr>
      <w:r w:rsidRPr="006034C9">
        <w:rPr>
          <w:rFonts w:eastAsiaTheme="minorEastAsia"/>
          <w:b/>
          <w:lang w:eastAsia="zh-CN"/>
        </w:rPr>
        <w:t xml:space="preserve">Proposal </w:t>
      </w:r>
      <w:r>
        <w:rPr>
          <w:rFonts w:eastAsiaTheme="minorEastAsia"/>
          <w:b/>
          <w:lang w:eastAsia="zh-CN"/>
        </w:rPr>
        <w:t>6</w:t>
      </w:r>
      <w:r w:rsidRPr="006034C9">
        <w:rPr>
          <w:rFonts w:eastAsiaTheme="minorEastAsia"/>
          <w:b/>
          <w:lang w:eastAsia="zh-CN"/>
        </w:rPr>
        <w:t xml:space="preserve">: </w:t>
      </w:r>
      <w:r w:rsidRPr="00273B93">
        <w:rPr>
          <w:b/>
        </w:rPr>
        <w:t>RAN2 should sufficiently discuss the proposed height-dependent parameters</w:t>
      </w:r>
      <w:r>
        <w:rPr>
          <w:b/>
        </w:rPr>
        <w:t xml:space="preserve"> in email discussion</w:t>
      </w:r>
      <w:r w:rsidRPr="00273B93">
        <w:rPr>
          <w:b/>
        </w:rPr>
        <w:t>.</w:t>
      </w:r>
    </w:p>
    <w:p w14:paraId="6CF856ED" w14:textId="37F6CAEA" w:rsidR="003C6BBF" w:rsidRPr="003774A5" w:rsidRDefault="00C138C5" w:rsidP="003C6BBF">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bookmarkEnd w:id="1"/>
    </w:p>
    <w:p w14:paraId="3C31FF1B" w14:textId="7B9C71C7" w:rsidR="003C6BBF" w:rsidRDefault="003C6BBF" w:rsidP="003C6BBF">
      <w:pPr>
        <w:rPr>
          <w:rFonts w:eastAsiaTheme="minorEastAsia"/>
          <w:b/>
          <w:lang w:eastAsia="zh-CN"/>
        </w:rPr>
      </w:pPr>
      <w:r w:rsidRPr="006034C9">
        <w:rPr>
          <w:rFonts w:eastAsiaTheme="minorEastAsia"/>
          <w:b/>
          <w:lang w:eastAsia="zh-CN"/>
        </w:rPr>
        <w:t xml:space="preserve">Proposal </w:t>
      </w:r>
      <w:r w:rsidR="003774A5">
        <w:rPr>
          <w:rFonts w:eastAsiaTheme="minorEastAsia"/>
          <w:b/>
          <w:lang w:eastAsia="zh-CN"/>
        </w:rPr>
        <w:t>1</w:t>
      </w:r>
      <w:r w:rsidRPr="006034C9">
        <w:rPr>
          <w:rFonts w:eastAsiaTheme="minorEastAsia"/>
          <w:b/>
          <w:lang w:eastAsia="zh-CN"/>
        </w:rPr>
        <w:t xml:space="preserve">: </w:t>
      </w:r>
      <w:r w:rsidR="00967744">
        <w:rPr>
          <w:rFonts w:eastAsiaTheme="minorEastAsia"/>
          <w:b/>
          <w:lang w:eastAsia="zh-CN"/>
        </w:rPr>
        <w:t>T</w:t>
      </w:r>
      <w:r w:rsidR="00967744" w:rsidRPr="00257149">
        <w:rPr>
          <w:rFonts w:eastAsiaTheme="minorEastAsia"/>
          <w:b/>
          <w:lang w:eastAsia="zh-CN"/>
        </w:rPr>
        <w:t>he height of UE should not be mandatory when event H1/H2 is triggered.</w:t>
      </w:r>
    </w:p>
    <w:p w14:paraId="5D2D581C" w14:textId="4CD14B2C" w:rsidR="003C6BBF" w:rsidRDefault="003C6BBF" w:rsidP="003C6BBF">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967744">
        <w:rPr>
          <w:rFonts w:eastAsiaTheme="minorEastAsia"/>
          <w:b/>
          <w:lang w:eastAsia="zh-CN"/>
        </w:rPr>
        <w:t xml:space="preserve">As in LTE, </w:t>
      </w:r>
      <w:r w:rsidR="00967744">
        <w:rPr>
          <w:b/>
        </w:rPr>
        <w:t xml:space="preserve">the IE </w:t>
      </w:r>
      <w:proofErr w:type="spellStart"/>
      <w:r w:rsidR="00967744">
        <w:rPr>
          <w:b/>
        </w:rPr>
        <w:t>heightUE</w:t>
      </w:r>
      <w:proofErr w:type="spellEnd"/>
      <w:r w:rsidR="00967744">
        <w:rPr>
          <w:b/>
        </w:rPr>
        <w:t xml:space="preserve"> can be reused in NR.</w:t>
      </w:r>
    </w:p>
    <w:p w14:paraId="143DB0AD" w14:textId="32D3E8AD" w:rsidR="00967744" w:rsidRDefault="00967744" w:rsidP="003C6BBF">
      <w:pPr>
        <w:rPr>
          <w:rStyle w:val="afe"/>
          <w:color w:val="252525"/>
        </w:rPr>
      </w:pPr>
      <w:r w:rsidRPr="006034C9">
        <w:rPr>
          <w:rFonts w:eastAsiaTheme="minorEastAsia"/>
          <w:b/>
          <w:lang w:eastAsia="zh-CN"/>
        </w:rPr>
        <w:t xml:space="preserve">Proposal </w:t>
      </w:r>
      <w:r>
        <w:rPr>
          <w:rFonts w:eastAsiaTheme="minorEastAsia"/>
          <w:b/>
          <w:lang w:eastAsia="zh-CN"/>
        </w:rPr>
        <w:t>3</w:t>
      </w:r>
      <w:r w:rsidRPr="006034C9">
        <w:rPr>
          <w:rFonts w:eastAsiaTheme="minorEastAsia"/>
          <w:b/>
          <w:lang w:eastAsia="zh-CN"/>
        </w:rPr>
        <w:t>:</w:t>
      </w:r>
      <w:r w:rsidRPr="00967744">
        <w:rPr>
          <w:rStyle w:val="afe"/>
          <w:color w:val="252525"/>
        </w:rPr>
        <w:t xml:space="preserve"> </w:t>
      </w:r>
      <w:r>
        <w:rPr>
          <w:rStyle w:val="afe"/>
          <w:color w:val="252525"/>
        </w:rPr>
        <w:t xml:space="preserve">The TTT and the </w:t>
      </w:r>
      <w:proofErr w:type="spellStart"/>
      <w:r>
        <w:rPr>
          <w:rStyle w:val="afe"/>
          <w:color w:val="252525"/>
        </w:rPr>
        <w:t>NumberOfTriggeringCells</w:t>
      </w:r>
      <w:proofErr w:type="spellEnd"/>
      <w:r>
        <w:rPr>
          <w:rStyle w:val="afe"/>
          <w:color w:val="252525"/>
        </w:rPr>
        <w:t xml:space="preserve"> can be height-dependent, and they are adjusted based on </w:t>
      </w:r>
      <w:proofErr w:type="spellStart"/>
      <w:r>
        <w:rPr>
          <w:rStyle w:val="afe"/>
          <w:color w:val="252525"/>
        </w:rPr>
        <w:t>HeightStateScalFactor</w:t>
      </w:r>
      <w:proofErr w:type="spellEnd"/>
      <w:r>
        <w:rPr>
          <w:rStyle w:val="afe"/>
          <w:color w:val="252525"/>
        </w:rPr>
        <w:t>.</w:t>
      </w:r>
    </w:p>
    <w:p w14:paraId="06921210" w14:textId="59873559" w:rsidR="00967744" w:rsidRDefault="00967744" w:rsidP="003C6BBF">
      <w:pPr>
        <w:rPr>
          <w:rStyle w:val="afe"/>
          <w:color w:val="252525"/>
        </w:rPr>
      </w:pPr>
      <w:r w:rsidRPr="006034C9">
        <w:rPr>
          <w:rFonts w:eastAsiaTheme="minorEastAsia"/>
          <w:b/>
          <w:lang w:eastAsia="zh-CN"/>
        </w:rPr>
        <w:t xml:space="preserve">Proposal </w:t>
      </w:r>
      <w:r>
        <w:rPr>
          <w:rFonts w:eastAsiaTheme="minorEastAsia"/>
          <w:b/>
          <w:lang w:eastAsia="zh-CN"/>
        </w:rPr>
        <w:t xml:space="preserve">4: </w:t>
      </w:r>
      <w:r>
        <w:rPr>
          <w:rStyle w:val="afe"/>
          <w:color w:val="252525"/>
        </w:rPr>
        <w:t xml:space="preserve">The cells include in </w:t>
      </w:r>
      <w:proofErr w:type="spellStart"/>
      <w:r w:rsidRPr="00F647C5">
        <w:rPr>
          <w:rStyle w:val="afe"/>
          <w:color w:val="252525"/>
        </w:rPr>
        <w:t>cellsTriggeredList</w:t>
      </w:r>
      <w:proofErr w:type="spellEnd"/>
      <w:r>
        <w:rPr>
          <w:rStyle w:val="afe"/>
          <w:color w:val="252525"/>
        </w:rPr>
        <w:t xml:space="preserve"> should not be removed when the UE changed the </w:t>
      </w:r>
      <w:proofErr w:type="spellStart"/>
      <w:r w:rsidRPr="00F647C5">
        <w:rPr>
          <w:rStyle w:val="afe"/>
          <w:color w:val="252525"/>
        </w:rPr>
        <w:t>NumberOfTriggeringCells</w:t>
      </w:r>
      <w:proofErr w:type="spellEnd"/>
      <w:r>
        <w:rPr>
          <w:rStyle w:val="afe"/>
          <w:color w:val="252525"/>
        </w:rPr>
        <w:t xml:space="preserve"> based on height.</w:t>
      </w:r>
    </w:p>
    <w:p w14:paraId="3316870D" w14:textId="0230F56E" w:rsidR="00967744" w:rsidRDefault="00967744" w:rsidP="003C6BBF">
      <w:pPr>
        <w:rPr>
          <w:b/>
        </w:rPr>
      </w:pPr>
      <w:r w:rsidRPr="006034C9">
        <w:rPr>
          <w:rFonts w:eastAsiaTheme="minorEastAsia"/>
          <w:b/>
          <w:lang w:eastAsia="zh-CN"/>
        </w:rPr>
        <w:t xml:space="preserve">Proposal </w:t>
      </w:r>
      <w:r>
        <w:rPr>
          <w:rFonts w:eastAsiaTheme="minorEastAsia"/>
          <w:b/>
          <w:lang w:eastAsia="zh-CN"/>
        </w:rPr>
        <w:t>5</w:t>
      </w:r>
      <w:r w:rsidRPr="006034C9">
        <w:rPr>
          <w:rFonts w:eastAsiaTheme="minorEastAsia"/>
          <w:b/>
          <w:lang w:eastAsia="zh-CN"/>
        </w:rPr>
        <w:t xml:space="preserve">: </w:t>
      </w:r>
      <w:r>
        <w:rPr>
          <w:b/>
        </w:rPr>
        <w:t>The</w:t>
      </w:r>
      <w:r w:rsidRPr="007D193F">
        <w:rPr>
          <w:b/>
        </w:rPr>
        <w:t xml:space="preserve"> height-dependent multiple measurement configurations </w:t>
      </w:r>
      <w:r>
        <w:rPr>
          <w:b/>
        </w:rPr>
        <w:t>should be extended to</w:t>
      </w:r>
      <w:r w:rsidRPr="007D193F">
        <w:rPr>
          <w:b/>
        </w:rPr>
        <w:t xml:space="preserve"> idle/inactive UE.</w:t>
      </w:r>
    </w:p>
    <w:p w14:paraId="2B442533" w14:textId="5C6F5037" w:rsidR="00273B93" w:rsidRPr="000F6AD7" w:rsidRDefault="00273B93" w:rsidP="003C6BBF">
      <w:pPr>
        <w:rPr>
          <w:b/>
        </w:rPr>
      </w:pPr>
      <w:r w:rsidRPr="006034C9">
        <w:rPr>
          <w:rFonts w:eastAsiaTheme="minorEastAsia"/>
          <w:b/>
          <w:lang w:eastAsia="zh-CN"/>
        </w:rPr>
        <w:t xml:space="preserve">Proposal </w:t>
      </w:r>
      <w:r>
        <w:rPr>
          <w:rFonts w:eastAsiaTheme="minorEastAsia"/>
          <w:b/>
          <w:lang w:eastAsia="zh-CN"/>
        </w:rPr>
        <w:t>6</w:t>
      </w:r>
      <w:r w:rsidRPr="006034C9">
        <w:rPr>
          <w:rFonts w:eastAsiaTheme="minorEastAsia"/>
          <w:b/>
          <w:lang w:eastAsia="zh-CN"/>
        </w:rPr>
        <w:t xml:space="preserve">: </w:t>
      </w:r>
      <w:r w:rsidRPr="00273B93">
        <w:rPr>
          <w:b/>
        </w:rPr>
        <w:t>RAN2 should sufficiently discuss the proposed height-dependent parameters</w:t>
      </w:r>
      <w:r>
        <w:rPr>
          <w:b/>
        </w:rPr>
        <w:t xml:space="preserve"> in email discussion</w:t>
      </w:r>
      <w:r w:rsidRPr="00273B93">
        <w:rPr>
          <w:b/>
        </w:rPr>
        <w:t>.</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FF8F865" w14:textId="65349D87" w:rsidR="009F5B51" w:rsidRPr="008A0897" w:rsidRDefault="00BA6518" w:rsidP="003C6BBF">
      <w:pPr>
        <w:pStyle w:val="a6"/>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009D788F" w:rsidRPr="009D788F">
        <w:rPr>
          <w:rFonts w:ascii="Times New Roman" w:eastAsiaTheme="minorEastAsia" w:hAnsi="Times New Roman"/>
          <w:sz w:val="20"/>
          <w:szCs w:val="20"/>
          <w:lang w:eastAsia="zh-CN"/>
        </w:rPr>
        <w:t>DRAFT_R2-23xx-[POST121][313][UAV]-height-dep-config-v</w:t>
      </w:r>
      <w:r w:rsidR="00075FA3">
        <w:rPr>
          <w:rFonts w:ascii="Times New Roman" w:eastAsiaTheme="minorEastAsia" w:hAnsi="Times New Roman"/>
          <w:sz w:val="20"/>
          <w:szCs w:val="20"/>
          <w:lang w:val="en-US" w:eastAsia="zh-CN"/>
        </w:rPr>
        <w:t>15</w:t>
      </w:r>
      <w:r w:rsidR="009D788F" w:rsidRPr="009D788F">
        <w:rPr>
          <w:rFonts w:ascii="Times New Roman" w:eastAsiaTheme="minorEastAsia" w:hAnsi="Times New Roman"/>
          <w:sz w:val="20"/>
          <w:szCs w:val="20"/>
          <w:lang w:eastAsia="zh-CN"/>
        </w:rPr>
        <w:t>_</w:t>
      </w:r>
      <w:r w:rsidR="00075FA3">
        <w:rPr>
          <w:rFonts w:ascii="Times New Roman" w:eastAsiaTheme="minorEastAsia" w:hAnsi="Times New Roman"/>
          <w:sz w:val="20"/>
          <w:szCs w:val="20"/>
          <w:lang w:val="en-US" w:eastAsia="zh-CN"/>
        </w:rPr>
        <w:t>Lenovo</w:t>
      </w:r>
    </w:p>
    <w:sectPr w:rsidR="009F5B51" w:rsidRPr="008A089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F835E" w14:textId="77777777" w:rsidR="00E6481D" w:rsidRDefault="00E6481D">
      <w:pPr>
        <w:spacing w:after="0"/>
      </w:pPr>
      <w:r>
        <w:separator/>
      </w:r>
    </w:p>
  </w:endnote>
  <w:endnote w:type="continuationSeparator" w:id="0">
    <w:p w14:paraId="2B7FF7AA" w14:textId="77777777" w:rsidR="00E6481D" w:rsidRDefault="00E64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0E11F" w14:textId="77777777" w:rsidR="00E6481D" w:rsidRDefault="00E6481D">
      <w:pPr>
        <w:spacing w:after="0"/>
      </w:pPr>
      <w:r>
        <w:separator/>
      </w:r>
    </w:p>
  </w:footnote>
  <w:footnote w:type="continuationSeparator" w:id="0">
    <w:p w14:paraId="4BB50EF5" w14:textId="77777777" w:rsidR="00E6481D" w:rsidRDefault="00E648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0"/>
  </w:num>
  <w:num w:numId="3">
    <w:abstractNumId w:val="11"/>
  </w:num>
  <w:num w:numId="4">
    <w:abstractNumId w:val="0"/>
  </w:num>
  <w:num w:numId="5">
    <w:abstractNumId w:val="13"/>
  </w:num>
  <w:num w:numId="6">
    <w:abstractNumId w:val="5"/>
  </w:num>
  <w:num w:numId="7">
    <w:abstractNumId w:val="3"/>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9"/>
  </w:num>
  <w:num w:numId="13">
    <w:abstractNumId w:val="6"/>
  </w:num>
  <w:num w:numId="14">
    <w:abstractNumId w:val="12"/>
  </w:num>
  <w:num w:numId="15">
    <w:abstractNumId w:val="7"/>
  </w:num>
  <w:num w:numId="1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37C1"/>
    <w:rsid w:val="00013F34"/>
    <w:rsid w:val="000148B7"/>
    <w:rsid w:val="00016FF1"/>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5FA3"/>
    <w:rsid w:val="000771BA"/>
    <w:rsid w:val="00080399"/>
    <w:rsid w:val="00081702"/>
    <w:rsid w:val="00082040"/>
    <w:rsid w:val="000834DB"/>
    <w:rsid w:val="00083964"/>
    <w:rsid w:val="00083BAD"/>
    <w:rsid w:val="00083CFD"/>
    <w:rsid w:val="00085128"/>
    <w:rsid w:val="00085A07"/>
    <w:rsid w:val="00085B06"/>
    <w:rsid w:val="00085EE2"/>
    <w:rsid w:val="00087E30"/>
    <w:rsid w:val="00090790"/>
    <w:rsid w:val="0009485F"/>
    <w:rsid w:val="00094A65"/>
    <w:rsid w:val="00095660"/>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2E1D"/>
    <w:rsid w:val="001836EA"/>
    <w:rsid w:val="001837F2"/>
    <w:rsid w:val="001863F3"/>
    <w:rsid w:val="00187965"/>
    <w:rsid w:val="001901FF"/>
    <w:rsid w:val="001907D4"/>
    <w:rsid w:val="001912DE"/>
    <w:rsid w:val="00192624"/>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968"/>
    <w:rsid w:val="00250192"/>
    <w:rsid w:val="002520EB"/>
    <w:rsid w:val="00252974"/>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1CA4"/>
    <w:rsid w:val="002C49C3"/>
    <w:rsid w:val="002C4AA2"/>
    <w:rsid w:val="002C7A27"/>
    <w:rsid w:val="002D1BAB"/>
    <w:rsid w:val="002D200D"/>
    <w:rsid w:val="002D210B"/>
    <w:rsid w:val="002D2309"/>
    <w:rsid w:val="002D2E05"/>
    <w:rsid w:val="002D42D4"/>
    <w:rsid w:val="002D5DED"/>
    <w:rsid w:val="002D695E"/>
    <w:rsid w:val="002D6E61"/>
    <w:rsid w:val="002E0C5D"/>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5854"/>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1A1B"/>
    <w:rsid w:val="0034361D"/>
    <w:rsid w:val="00343CE1"/>
    <w:rsid w:val="00345CAB"/>
    <w:rsid w:val="003460AC"/>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7187"/>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60CDB"/>
    <w:rsid w:val="004615F0"/>
    <w:rsid w:val="00463475"/>
    <w:rsid w:val="004635FF"/>
    <w:rsid w:val="004666CF"/>
    <w:rsid w:val="00467001"/>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2AAB"/>
    <w:rsid w:val="0055354C"/>
    <w:rsid w:val="0055388C"/>
    <w:rsid w:val="00554410"/>
    <w:rsid w:val="00554BD4"/>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4BC7"/>
    <w:rsid w:val="005B5A3F"/>
    <w:rsid w:val="005B6FCA"/>
    <w:rsid w:val="005B79C9"/>
    <w:rsid w:val="005C22A5"/>
    <w:rsid w:val="005C39B0"/>
    <w:rsid w:val="005C3CBE"/>
    <w:rsid w:val="005C3D88"/>
    <w:rsid w:val="005C3E8F"/>
    <w:rsid w:val="005C48DC"/>
    <w:rsid w:val="005C4AF2"/>
    <w:rsid w:val="005C5A0D"/>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02BE"/>
    <w:rsid w:val="006732C1"/>
    <w:rsid w:val="0067553D"/>
    <w:rsid w:val="00675716"/>
    <w:rsid w:val="006763F7"/>
    <w:rsid w:val="006769BD"/>
    <w:rsid w:val="006810CF"/>
    <w:rsid w:val="00683864"/>
    <w:rsid w:val="00686223"/>
    <w:rsid w:val="0068798C"/>
    <w:rsid w:val="00690581"/>
    <w:rsid w:val="0069191F"/>
    <w:rsid w:val="00691E29"/>
    <w:rsid w:val="00692884"/>
    <w:rsid w:val="00693C1A"/>
    <w:rsid w:val="006942C8"/>
    <w:rsid w:val="00694D3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615F"/>
    <w:rsid w:val="006F10F6"/>
    <w:rsid w:val="006F18BD"/>
    <w:rsid w:val="006F1B30"/>
    <w:rsid w:val="006F515F"/>
    <w:rsid w:val="006F544F"/>
    <w:rsid w:val="006F5A3E"/>
    <w:rsid w:val="006F5BED"/>
    <w:rsid w:val="006F60F8"/>
    <w:rsid w:val="006F686E"/>
    <w:rsid w:val="00700849"/>
    <w:rsid w:val="007008AF"/>
    <w:rsid w:val="00704378"/>
    <w:rsid w:val="0072018C"/>
    <w:rsid w:val="00720213"/>
    <w:rsid w:val="00721B60"/>
    <w:rsid w:val="0072285B"/>
    <w:rsid w:val="00723B26"/>
    <w:rsid w:val="007250D7"/>
    <w:rsid w:val="007263A8"/>
    <w:rsid w:val="00727427"/>
    <w:rsid w:val="007322EE"/>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2F3B"/>
    <w:rsid w:val="00753349"/>
    <w:rsid w:val="00753972"/>
    <w:rsid w:val="007539C8"/>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136A"/>
    <w:rsid w:val="0079163B"/>
    <w:rsid w:val="00791788"/>
    <w:rsid w:val="00791876"/>
    <w:rsid w:val="00791C6C"/>
    <w:rsid w:val="007930D6"/>
    <w:rsid w:val="0079333A"/>
    <w:rsid w:val="00793837"/>
    <w:rsid w:val="00793C1E"/>
    <w:rsid w:val="007958E9"/>
    <w:rsid w:val="00795EBD"/>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728"/>
    <w:rsid w:val="00822968"/>
    <w:rsid w:val="00822ADC"/>
    <w:rsid w:val="00823936"/>
    <w:rsid w:val="008239AD"/>
    <w:rsid w:val="00823A27"/>
    <w:rsid w:val="00823EAF"/>
    <w:rsid w:val="008255FB"/>
    <w:rsid w:val="00826916"/>
    <w:rsid w:val="00830005"/>
    <w:rsid w:val="00830676"/>
    <w:rsid w:val="00834199"/>
    <w:rsid w:val="00834204"/>
    <w:rsid w:val="008353FC"/>
    <w:rsid w:val="00836467"/>
    <w:rsid w:val="0083649E"/>
    <w:rsid w:val="00840884"/>
    <w:rsid w:val="00842C91"/>
    <w:rsid w:val="00843086"/>
    <w:rsid w:val="00843095"/>
    <w:rsid w:val="008464F7"/>
    <w:rsid w:val="00846DBF"/>
    <w:rsid w:val="00851E1C"/>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43A7"/>
    <w:rsid w:val="008E4CCD"/>
    <w:rsid w:val="008E6753"/>
    <w:rsid w:val="008F4E12"/>
    <w:rsid w:val="008F6681"/>
    <w:rsid w:val="008F6CEB"/>
    <w:rsid w:val="008F6D8A"/>
    <w:rsid w:val="009008F6"/>
    <w:rsid w:val="00900C2A"/>
    <w:rsid w:val="009011D9"/>
    <w:rsid w:val="00901208"/>
    <w:rsid w:val="009013E7"/>
    <w:rsid w:val="00904D94"/>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76F9"/>
    <w:rsid w:val="00942723"/>
    <w:rsid w:val="00942A60"/>
    <w:rsid w:val="0094343B"/>
    <w:rsid w:val="009473B7"/>
    <w:rsid w:val="00947730"/>
    <w:rsid w:val="00950EF3"/>
    <w:rsid w:val="009538FF"/>
    <w:rsid w:val="00961BC3"/>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5FC"/>
    <w:rsid w:val="00A00B07"/>
    <w:rsid w:val="00A00F5B"/>
    <w:rsid w:val="00A04538"/>
    <w:rsid w:val="00A07188"/>
    <w:rsid w:val="00A078C8"/>
    <w:rsid w:val="00A108DB"/>
    <w:rsid w:val="00A11A22"/>
    <w:rsid w:val="00A136DA"/>
    <w:rsid w:val="00A13B17"/>
    <w:rsid w:val="00A1724C"/>
    <w:rsid w:val="00A177C1"/>
    <w:rsid w:val="00A17901"/>
    <w:rsid w:val="00A17DF7"/>
    <w:rsid w:val="00A206E8"/>
    <w:rsid w:val="00A226A0"/>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3A99"/>
    <w:rsid w:val="00A642CB"/>
    <w:rsid w:val="00A655D3"/>
    <w:rsid w:val="00A6764F"/>
    <w:rsid w:val="00A7042D"/>
    <w:rsid w:val="00A7142B"/>
    <w:rsid w:val="00A72FE6"/>
    <w:rsid w:val="00A732FC"/>
    <w:rsid w:val="00A743E0"/>
    <w:rsid w:val="00A7498A"/>
    <w:rsid w:val="00A74DCF"/>
    <w:rsid w:val="00A76417"/>
    <w:rsid w:val="00A76B6C"/>
    <w:rsid w:val="00A76EE6"/>
    <w:rsid w:val="00A807BC"/>
    <w:rsid w:val="00A8136B"/>
    <w:rsid w:val="00A817D2"/>
    <w:rsid w:val="00A82F73"/>
    <w:rsid w:val="00A86A26"/>
    <w:rsid w:val="00A9071B"/>
    <w:rsid w:val="00A914EF"/>
    <w:rsid w:val="00A96483"/>
    <w:rsid w:val="00AA0425"/>
    <w:rsid w:val="00AA185F"/>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676A"/>
    <w:rsid w:val="00B57A03"/>
    <w:rsid w:val="00B57C45"/>
    <w:rsid w:val="00B57EFD"/>
    <w:rsid w:val="00B60766"/>
    <w:rsid w:val="00B6201C"/>
    <w:rsid w:val="00B62216"/>
    <w:rsid w:val="00B62D11"/>
    <w:rsid w:val="00B635B9"/>
    <w:rsid w:val="00B639D8"/>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1452"/>
    <w:rsid w:val="00B87A08"/>
    <w:rsid w:val="00B87CE3"/>
    <w:rsid w:val="00B91CD0"/>
    <w:rsid w:val="00B939D7"/>
    <w:rsid w:val="00B94BDE"/>
    <w:rsid w:val="00B94E37"/>
    <w:rsid w:val="00B95233"/>
    <w:rsid w:val="00B95946"/>
    <w:rsid w:val="00B95A44"/>
    <w:rsid w:val="00B97157"/>
    <w:rsid w:val="00BA32AD"/>
    <w:rsid w:val="00BA64D2"/>
    <w:rsid w:val="00BA6518"/>
    <w:rsid w:val="00BA7687"/>
    <w:rsid w:val="00BB1F7B"/>
    <w:rsid w:val="00BB3774"/>
    <w:rsid w:val="00BB7DF8"/>
    <w:rsid w:val="00BB7EA3"/>
    <w:rsid w:val="00BC0F52"/>
    <w:rsid w:val="00BC13E2"/>
    <w:rsid w:val="00BC1D4A"/>
    <w:rsid w:val="00BC524B"/>
    <w:rsid w:val="00BC61B5"/>
    <w:rsid w:val="00BC62E0"/>
    <w:rsid w:val="00BC6549"/>
    <w:rsid w:val="00BC6E02"/>
    <w:rsid w:val="00BD1983"/>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C0F56"/>
    <w:rsid w:val="00CC1B48"/>
    <w:rsid w:val="00CC1F2D"/>
    <w:rsid w:val="00CC23EA"/>
    <w:rsid w:val="00CC2DB7"/>
    <w:rsid w:val="00CC4C2B"/>
    <w:rsid w:val="00CC6C88"/>
    <w:rsid w:val="00CC6D3C"/>
    <w:rsid w:val="00CD0DB9"/>
    <w:rsid w:val="00CD4185"/>
    <w:rsid w:val="00CD5337"/>
    <w:rsid w:val="00CD5911"/>
    <w:rsid w:val="00CD6FBC"/>
    <w:rsid w:val="00CD7D72"/>
    <w:rsid w:val="00CD7E21"/>
    <w:rsid w:val="00CE3312"/>
    <w:rsid w:val="00CE6BD4"/>
    <w:rsid w:val="00CE74A6"/>
    <w:rsid w:val="00CF0CF3"/>
    <w:rsid w:val="00CF290E"/>
    <w:rsid w:val="00D007DA"/>
    <w:rsid w:val="00D01771"/>
    <w:rsid w:val="00D02A82"/>
    <w:rsid w:val="00D03E5B"/>
    <w:rsid w:val="00D051FB"/>
    <w:rsid w:val="00D06518"/>
    <w:rsid w:val="00D06CFE"/>
    <w:rsid w:val="00D06E9A"/>
    <w:rsid w:val="00D07EE5"/>
    <w:rsid w:val="00D10138"/>
    <w:rsid w:val="00D11F4C"/>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412EA"/>
    <w:rsid w:val="00D41C53"/>
    <w:rsid w:val="00D439A0"/>
    <w:rsid w:val="00D447ED"/>
    <w:rsid w:val="00D4480A"/>
    <w:rsid w:val="00D44EF4"/>
    <w:rsid w:val="00D4539D"/>
    <w:rsid w:val="00D47929"/>
    <w:rsid w:val="00D4795B"/>
    <w:rsid w:val="00D479B9"/>
    <w:rsid w:val="00D515B3"/>
    <w:rsid w:val="00D5192E"/>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03F5"/>
    <w:rsid w:val="00E5461C"/>
    <w:rsid w:val="00E54D3A"/>
    <w:rsid w:val="00E55901"/>
    <w:rsid w:val="00E608FA"/>
    <w:rsid w:val="00E6213A"/>
    <w:rsid w:val="00E63F03"/>
    <w:rsid w:val="00E6481D"/>
    <w:rsid w:val="00E64969"/>
    <w:rsid w:val="00E657CE"/>
    <w:rsid w:val="00E66E74"/>
    <w:rsid w:val="00E717D3"/>
    <w:rsid w:val="00E71DAA"/>
    <w:rsid w:val="00E73DF9"/>
    <w:rsid w:val="00E7402D"/>
    <w:rsid w:val="00E749C1"/>
    <w:rsid w:val="00E75B6F"/>
    <w:rsid w:val="00E76BB1"/>
    <w:rsid w:val="00E772DF"/>
    <w:rsid w:val="00E81EB2"/>
    <w:rsid w:val="00E82FF1"/>
    <w:rsid w:val="00E83B9D"/>
    <w:rsid w:val="00E83DAC"/>
    <w:rsid w:val="00E84B7B"/>
    <w:rsid w:val="00E84CF7"/>
    <w:rsid w:val="00E87BB1"/>
    <w:rsid w:val="00E904D6"/>
    <w:rsid w:val="00E9096A"/>
    <w:rsid w:val="00E91563"/>
    <w:rsid w:val="00E91C9D"/>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52DC"/>
    <w:rsid w:val="00F2587C"/>
    <w:rsid w:val="00F25C0D"/>
    <w:rsid w:val="00F27508"/>
    <w:rsid w:val="00F3092F"/>
    <w:rsid w:val="00F31162"/>
    <w:rsid w:val="00F312E2"/>
    <w:rsid w:val="00F33962"/>
    <w:rsid w:val="00F33D44"/>
    <w:rsid w:val="00F34C0B"/>
    <w:rsid w:val="00F3619C"/>
    <w:rsid w:val="00F40726"/>
    <w:rsid w:val="00F411BA"/>
    <w:rsid w:val="00F41251"/>
    <w:rsid w:val="00F418BA"/>
    <w:rsid w:val="00F421E8"/>
    <w:rsid w:val="00F428D9"/>
    <w:rsid w:val="00F42AC2"/>
    <w:rsid w:val="00F430B3"/>
    <w:rsid w:val="00F46AB3"/>
    <w:rsid w:val="00F47467"/>
    <w:rsid w:val="00F506AC"/>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E4AC57A8-1356-4441-8603-6DEB5A48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43F47-30B5-4FE2-9023-18EE0698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6932</TotalTime>
  <Pages>2</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35</cp:revision>
  <dcterms:created xsi:type="dcterms:W3CDTF">2022-11-03T14:21:00Z</dcterms:created>
  <dcterms:modified xsi:type="dcterms:W3CDTF">2023-04-07T01:36:00Z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(3)XRo6Q277tQfND8sf/AjdEq2ocnfnuhQRSDF6z7YffrrGAyjpLtgaC4FXT0CiuKw+lmNXDeXd
3Nc+akQzwx9Jg1IoNPFndPP5ZxMnmAAY8iNLv0O7XvP1U6FJurhuFlFrXO8gJhAnRI58chbR
7pVrmDMlvRsjKcyUb8asN48T9DJwThZtWPCtPl/EFo7WhSOOkID4WkXrC5v0B5HNf445K7nA
4z49rnrIQjJAwSTJn9</vt:lpwstr>
  </property>
  <property fmtid="{D5CDD505-2E9C-101B-9397-08002B2CF9AE}" pid="3" name="_2015_ms_pID_7253431">
    <vt:lpwstr>omI0ydcRCdxQ/sAZhZyq9/GjhZ0gISRkk8r+VKYnbN076G3P4OnmAQ
juhLE5ByKceEa37uqddSTXbJrXIvg/pQ/pmLZd3Pnap4U/qBGXtKSe+crbQvsoIcGfZHzqan
VRjCXdXK67I2uo33USEeTLV4Tv1r1lfyFmm5RoWu0ehESBt0hiCOQIY+VCdI4GcrbwdtSipD
sttOXKtqKbeC7te/16Cl2Wh3qeN/MHv7W+Tp</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